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E044" w14:textId="0AA0D579" w:rsidR="0093108D" w:rsidRPr="003F04E4" w:rsidRDefault="0093108D" w:rsidP="0093108D">
      <w:pPr>
        <w:jc w:val="both"/>
      </w:pPr>
      <w:r>
        <w:t xml:space="preserve">Projekteerimistingimused väljastab Tarbijakaitse ja Tehnilise Järelevalve Amet (edaspidi TTJA) võttes aluseks ehitusseadustiku (edaspidi </w:t>
      </w:r>
      <w:proofErr w:type="spellStart"/>
      <w:r>
        <w:t>EhS</w:t>
      </w:r>
      <w:proofErr w:type="spellEnd"/>
      <w:r>
        <w:t xml:space="preserve">) § 26 ja 88 ning lähtudes aktsiaselts Eesti Raudtee (11575838) poolt 12.07.2024 esitatud projekteerimistingimuste taotlusest nr 2411002/05521, millega soovitakse projekteerimistingimusi </w:t>
      </w:r>
      <w:proofErr w:type="spellStart"/>
      <w:r>
        <w:t>Kärkna</w:t>
      </w:r>
      <w:proofErr w:type="spellEnd"/>
      <w:r>
        <w:t xml:space="preserve"> raudteejaama ooteplatvormi rajamiseks. Ehitis kavandatakse vastavalt taotlusele ja </w:t>
      </w:r>
      <w:r w:rsidRPr="003F04E4">
        <w:t>sellele lisatud asendiskeemile</w:t>
      </w:r>
      <w:r>
        <w:t xml:space="preserve"> Tartu maakonnas Tartu vallas </w:t>
      </w:r>
      <w:proofErr w:type="spellStart"/>
      <w:r>
        <w:t>Kärkna</w:t>
      </w:r>
      <w:proofErr w:type="spellEnd"/>
      <w:r>
        <w:t xml:space="preserve"> raudteejaamas järgmistele kinnistutele: </w:t>
      </w:r>
      <w:r w:rsidRPr="0093108D">
        <w:t>79401:002:0003</w:t>
      </w:r>
      <w:r>
        <w:t xml:space="preserve"> ja </w:t>
      </w:r>
      <w:r w:rsidRPr="0093108D">
        <w:t>79401:002:0005</w:t>
      </w:r>
      <w:r w:rsidRPr="003F04E4">
        <w:t>.</w:t>
      </w:r>
    </w:p>
    <w:p w14:paraId="1BED7509" w14:textId="3C3D1884" w:rsidR="0093108D" w:rsidRPr="00045949" w:rsidRDefault="0093108D" w:rsidP="0093108D">
      <w:pPr>
        <w:jc w:val="both"/>
      </w:pPr>
      <w:r w:rsidRPr="00045949">
        <w:t xml:space="preserve">Projekteerimistingimuste eelnõu saadeti kooskõlastamiseks </w:t>
      </w:r>
      <w:r w:rsidR="00045949" w:rsidRPr="00045949">
        <w:t xml:space="preserve">Kliimaministeeriumile, Transpordiametile ja Tartu Vallavalitsusele ning arvamuse avaldamiseks Telia Eesti </w:t>
      </w:r>
      <w:proofErr w:type="spellStart"/>
      <w:r w:rsidR="00045949" w:rsidRPr="00045949">
        <w:t>AS-le</w:t>
      </w:r>
      <w:proofErr w:type="spellEnd"/>
      <w:r w:rsidR="00045949" w:rsidRPr="00045949">
        <w:t xml:space="preserve">, Maa-ametile ja </w:t>
      </w:r>
      <w:proofErr w:type="spellStart"/>
      <w:r w:rsidR="00045949" w:rsidRPr="00045949">
        <w:t>AS</w:t>
      </w:r>
      <w:r w:rsidR="000C6479">
        <w:t>-le</w:t>
      </w:r>
      <w:proofErr w:type="spellEnd"/>
      <w:r w:rsidR="00045949" w:rsidRPr="00045949">
        <w:t xml:space="preserve"> Emajõe Veevär</w:t>
      </w:r>
      <w:r w:rsidR="000C6479">
        <w:t>k</w:t>
      </w:r>
      <w:r w:rsidR="00045949" w:rsidRPr="00045949">
        <w:t xml:space="preserve">. </w:t>
      </w:r>
      <w:r w:rsidRPr="00045949">
        <w:t>Lisaks oli menetlusse kaasatud piirinaab</w:t>
      </w:r>
      <w:r w:rsidR="00045949">
        <w:t>rid</w:t>
      </w:r>
      <w:r w:rsidRPr="00045949">
        <w:t xml:space="preserve">. Projekteerimistingimuste menetluse raames esitas omapoolsed märkused </w:t>
      </w:r>
      <w:r w:rsidR="00045949" w:rsidRPr="00045949">
        <w:t>Transpordiamet ja Maa-amet</w:t>
      </w:r>
      <w:r w:rsidRPr="00045949">
        <w:t>, millega projekteerimistingimuste andmisel arvestati.</w:t>
      </w:r>
      <w:r w:rsidR="000C6479">
        <w:t xml:space="preserve"> </w:t>
      </w:r>
      <w:r w:rsidR="000C6479">
        <w:t>Maa-amet väljendas soovi olla kaasatud ka ehitusloa menetluses.</w:t>
      </w:r>
    </w:p>
    <w:p w14:paraId="7FAF960F" w14:textId="77777777" w:rsidR="0093108D" w:rsidRDefault="0093108D" w:rsidP="0093108D"/>
    <w:p w14:paraId="0E1CBBB5" w14:textId="77777777" w:rsidR="0093108D" w:rsidRDefault="0093108D" w:rsidP="0093108D">
      <w:pPr>
        <w:pStyle w:val="Loendilik"/>
        <w:numPr>
          <w:ilvl w:val="0"/>
          <w:numId w:val="1"/>
        </w:numPr>
        <w:jc w:val="both"/>
        <w:rPr>
          <w:b/>
          <w:bCs/>
        </w:rPr>
      </w:pPr>
      <w:r>
        <w:rPr>
          <w:b/>
          <w:bCs/>
        </w:rPr>
        <w:t>Projekteerimistingimused antakse vastavalt projekteerimistingimuste taotlusele ja selle lisale alljärgneva ehitise ehitusprojekti koostamiseks:</w:t>
      </w:r>
    </w:p>
    <w:p w14:paraId="7F59C4C6" w14:textId="77777777" w:rsidR="0093108D" w:rsidRDefault="0093108D" w:rsidP="0093108D">
      <w:pPr>
        <w:pStyle w:val="Loendilik"/>
        <w:numPr>
          <w:ilvl w:val="1"/>
          <w:numId w:val="1"/>
        </w:numPr>
        <w:jc w:val="both"/>
      </w:pPr>
      <w:r>
        <w:t>Ooteplatvorm - täpne paiknemine ja maht selgitada välja projekteerimise käigus. Uute rajatiste maht ja olemasolevate rajatiste ümberehitamise vajadus selgitada välja projekteerimise käigus kavandades terviklik lahendus ning arvestades ooteplatvormi pikendamise perspektiiviga kuni 180 meetrit.</w:t>
      </w:r>
    </w:p>
    <w:p w14:paraId="31DEDEB6" w14:textId="77777777" w:rsidR="0093108D" w:rsidRDefault="0093108D" w:rsidP="0093108D">
      <w:pPr>
        <w:jc w:val="both"/>
      </w:pPr>
      <w:r>
        <w:t>Rajatis kavandatakse "Ehitise asukoht" märgitud kinnistule.</w:t>
      </w:r>
    </w:p>
    <w:p w14:paraId="4E12AC7B" w14:textId="77777777" w:rsidR="0093108D" w:rsidRDefault="0093108D" w:rsidP="0093108D">
      <w:pPr>
        <w:jc w:val="both"/>
      </w:pPr>
    </w:p>
    <w:p w14:paraId="3D6FC5A6" w14:textId="77777777" w:rsidR="0093108D" w:rsidRDefault="0093108D" w:rsidP="0093108D">
      <w:pPr>
        <w:pStyle w:val="Loendilik"/>
        <w:numPr>
          <w:ilvl w:val="0"/>
          <w:numId w:val="1"/>
        </w:numPr>
        <w:jc w:val="both"/>
        <w:rPr>
          <w:b/>
          <w:bCs/>
        </w:rPr>
      </w:pPr>
      <w:r>
        <w:rPr>
          <w:b/>
          <w:bCs/>
        </w:rPr>
        <w:t xml:space="preserve">Tingimused ehitusprojekti koostamiseks: </w:t>
      </w:r>
    </w:p>
    <w:p w14:paraId="03FE386A" w14:textId="77777777" w:rsidR="0093108D" w:rsidRDefault="0093108D" w:rsidP="0093108D">
      <w:pPr>
        <w:pStyle w:val="Loendilik"/>
        <w:numPr>
          <w:ilvl w:val="1"/>
          <w:numId w:val="1"/>
        </w:numPr>
        <w:jc w:val="both"/>
      </w:pPr>
      <w:r>
        <w:t>Projekti koostamisel arvestada majandus- ja taristuministri 17.07.2015 määrusega nr 97 "Nõuded ehitusprojektile".</w:t>
      </w:r>
    </w:p>
    <w:p w14:paraId="4AC6FC72" w14:textId="77777777" w:rsidR="0093108D" w:rsidRDefault="0093108D" w:rsidP="0093108D">
      <w:pPr>
        <w:pStyle w:val="Loendilik"/>
        <w:numPr>
          <w:ilvl w:val="1"/>
          <w:numId w:val="1"/>
        </w:numPr>
        <w:jc w:val="both"/>
      </w:pPr>
      <w:r>
        <w:t xml:space="preserve">Projekteerimisel lähtuda </w:t>
      </w:r>
      <w:proofErr w:type="spellStart"/>
      <w:r>
        <w:t>EhS</w:t>
      </w:r>
      <w:proofErr w:type="spellEnd"/>
      <w:r>
        <w:t xml:space="preserve">-st, raudteeseadusest, majandus- ja taristuministri 09.11.2020 määrusest nr 71 „Raudtee </w:t>
      </w:r>
      <w:proofErr w:type="spellStart"/>
      <w:r>
        <w:t>tehnokasutuseeskiri</w:t>
      </w:r>
      <w:proofErr w:type="spellEnd"/>
      <w:r>
        <w:t>“, 27.11.2020 määrusest nr 80 „Allsüsteemi ja koostalitluse komponendi tehniliste kirjelduste kohaldamise kord, kasutusele võtmise tingimused, nende nõuetele vastavuse hindamise ja tõendamise kord ning oluliste nõuete loetelu“, Euroopa Liidu õigusest ja muudest asjakohastest õigusaktidest.</w:t>
      </w:r>
    </w:p>
    <w:p w14:paraId="4ECF7542" w14:textId="77777777" w:rsidR="0093108D" w:rsidRPr="00225952" w:rsidRDefault="0093108D" w:rsidP="0093108D">
      <w:pPr>
        <w:pStyle w:val="Loendilik"/>
        <w:numPr>
          <w:ilvl w:val="1"/>
          <w:numId w:val="1"/>
        </w:numPr>
        <w:jc w:val="both"/>
      </w:pPr>
      <w:r w:rsidRPr="00225952">
        <w:t xml:space="preserve">Projekteerimisel tuleb lähtuda muuhulgas Euroopa Liidu Komisjoni määrusest (EL) nr 1299/2014, milles käsitletakse Euroopa Liidu raudteesüsteemi </w:t>
      </w:r>
      <w:proofErr w:type="spellStart"/>
      <w:r w:rsidRPr="00225952">
        <w:t>allsüsteemi</w:t>
      </w:r>
      <w:proofErr w:type="spellEnd"/>
      <w:r w:rsidRPr="00225952">
        <w:t xml:space="preserve"> „taristu“ koostalitluse tehnilist kirjeldust (KTK) ning Euroopa Liidu Komisjoni määrusest (EL) nr 1300/2014, milles käsitletakse koostalitluse tehnilist kirjeldust (KTK) seoses puuetega ja piiratud liikumisvõimega inimestele juurdepääsuvõimaluste tagamisega Euroopa Liidu raudteesüsteemis ning arvestada nendes toodud nõuetega ja välja selgitada vastavushindamise vajadus.</w:t>
      </w:r>
    </w:p>
    <w:p w14:paraId="07D248A3" w14:textId="77777777" w:rsidR="0093108D" w:rsidRDefault="0093108D" w:rsidP="0093108D">
      <w:pPr>
        <w:pStyle w:val="Loendilik"/>
        <w:numPr>
          <w:ilvl w:val="1"/>
          <w:numId w:val="1"/>
        </w:numPr>
        <w:jc w:val="both"/>
      </w:pPr>
      <w:r>
        <w:t xml:space="preserve">Projekti koostaja peab olema pädev </w:t>
      </w:r>
      <w:proofErr w:type="spellStart"/>
      <w:r>
        <w:t>EhS</w:t>
      </w:r>
      <w:proofErr w:type="spellEnd"/>
      <w:r>
        <w:t xml:space="preserve"> §-de 23, 24 ja 25 mõistes. Projekt tuleb pädeva isiku poolt allkirjastada.</w:t>
      </w:r>
    </w:p>
    <w:p w14:paraId="293938A8" w14:textId="77777777" w:rsidR="0093108D" w:rsidRDefault="0093108D" w:rsidP="0093108D">
      <w:pPr>
        <w:pStyle w:val="Loendilik"/>
        <w:numPr>
          <w:ilvl w:val="1"/>
          <w:numId w:val="1"/>
        </w:numPr>
        <w:jc w:val="both"/>
      </w:pPr>
      <w:r>
        <w:t xml:space="preserve">Koostada asendiplaan M 1:500 aktuaalsel </w:t>
      </w:r>
      <w:proofErr w:type="spellStart"/>
      <w:r>
        <w:t>topogeodeetilisel</w:t>
      </w:r>
      <w:proofErr w:type="spellEnd"/>
      <w:r>
        <w:t xml:space="preserve"> alusplaanil, mis vastab majandus- ja taristuministri 14.04.2016 määrusele nr 34 “</w:t>
      </w:r>
      <w:proofErr w:type="spellStart"/>
      <w:r>
        <w:t>Topo</w:t>
      </w:r>
      <w:proofErr w:type="spellEnd"/>
      <w:r>
        <w:t>-geodeetilisele uuringule ja teostusmõõdistamisele esitatavad nõuded”. Asendiplaanil peavad olema kajastatud kõik maaüksusi puudutavad kitsendused, projekteeritava ala piirid, olemasolevate ja projekteeritavate ehitiste asukohad koos mõõtmete ja oluliste tehniliste näitajatega, raudteede, teede, tehnovõrkude jm kaitsevööndid ning nende tingmärgid.</w:t>
      </w:r>
    </w:p>
    <w:p w14:paraId="133F5BA7" w14:textId="77777777" w:rsidR="0093108D" w:rsidRDefault="0093108D" w:rsidP="0093108D">
      <w:pPr>
        <w:pStyle w:val="Loendilik"/>
        <w:numPr>
          <w:ilvl w:val="1"/>
          <w:numId w:val="1"/>
        </w:numPr>
        <w:jc w:val="both"/>
      </w:pPr>
      <w:r>
        <w:lastRenderedPageBreak/>
        <w:t>Projekti koostamisel lähtuda võrguvaldajatelt saadud asja- ja ajakohastest tehnilistest tingimustest ning tehnovõrgu ja raudtee valdajate tehnilised tingimused ja muu projektiga seonduv oluline informatsioon tuleb lisada projekti kausta.</w:t>
      </w:r>
    </w:p>
    <w:p w14:paraId="00ABC840" w14:textId="77777777" w:rsidR="0093108D" w:rsidRDefault="0093108D" w:rsidP="0093108D">
      <w:pPr>
        <w:pStyle w:val="Loendilik"/>
        <w:numPr>
          <w:ilvl w:val="1"/>
          <w:numId w:val="1"/>
        </w:numPr>
        <w:jc w:val="both"/>
      </w:pPr>
      <w:r>
        <w:t xml:space="preserve">Projekti koostamisel tuleb asjakohasel juhul teha riski- ja ohutushindamine. Raudteevaldaja peab EL määruse 402/2013 artikli 4 alusel hindama, kas planeeritavad ehitustegevused mõjutavad ettevõtte raudteesüsteemi ohutust ning kas tegemist on olulise muudatusega. Kui tegevus mõjutab ohutust, tuleb lähtuda määruse artiklist 5. Kui artikli 4 alusel selgub, et mõju ohutusele on oluline, siis tuleb läbi viia </w:t>
      </w:r>
      <w:proofErr w:type="spellStart"/>
      <w:r>
        <w:t>riskijuhtimismenetlus</w:t>
      </w:r>
      <w:proofErr w:type="spellEnd"/>
      <w:r>
        <w:t xml:space="preserve"> </w:t>
      </w:r>
      <w:proofErr w:type="spellStart"/>
      <w:r>
        <w:t>ohutushindamisasutuse</w:t>
      </w:r>
      <w:proofErr w:type="spellEnd"/>
      <w:r>
        <w:t xml:space="preserve"> (</w:t>
      </w:r>
      <w:proofErr w:type="spellStart"/>
      <w:r>
        <w:t>Assesment</w:t>
      </w:r>
      <w:proofErr w:type="spellEnd"/>
      <w:r>
        <w:t xml:space="preserve"> </w:t>
      </w:r>
      <w:proofErr w:type="spellStart"/>
      <w:r>
        <w:t>Body</w:t>
      </w:r>
      <w:proofErr w:type="spellEnd"/>
      <w:r>
        <w:t xml:space="preserve"> - </w:t>
      </w:r>
      <w:proofErr w:type="spellStart"/>
      <w:r>
        <w:t>AsBo</w:t>
      </w:r>
      <w:proofErr w:type="spellEnd"/>
      <w:r>
        <w:t xml:space="preserve">) poolt. Raudteevaldaja hinnang tuleb esitada koos ehitusloa taotlusega. Olulise muudatuse korral </w:t>
      </w:r>
      <w:proofErr w:type="spellStart"/>
      <w:r>
        <w:t>AsBo</w:t>
      </w:r>
      <w:proofErr w:type="spellEnd"/>
      <w:r>
        <w:t xml:space="preserve"> ohutushinnang tuleb esitada hiljemalt koos kasutusloa taotlusega.</w:t>
      </w:r>
    </w:p>
    <w:p w14:paraId="592DE3AA" w14:textId="77777777" w:rsidR="0093108D" w:rsidRDefault="0093108D" w:rsidP="0093108D">
      <w:pPr>
        <w:jc w:val="both"/>
      </w:pPr>
    </w:p>
    <w:p w14:paraId="5083D53D" w14:textId="77777777" w:rsidR="0093108D" w:rsidRPr="00045949" w:rsidRDefault="0093108D" w:rsidP="0093108D">
      <w:pPr>
        <w:pStyle w:val="Loendilik"/>
        <w:numPr>
          <w:ilvl w:val="0"/>
          <w:numId w:val="1"/>
        </w:numPr>
        <w:rPr>
          <w:b/>
          <w:bCs/>
        </w:rPr>
      </w:pPr>
      <w:r w:rsidRPr="00045949">
        <w:rPr>
          <w:b/>
          <w:bCs/>
        </w:rPr>
        <w:t>Ehitusprojekti koostamisel tuleb arvestada järgmise märkusega:</w:t>
      </w:r>
    </w:p>
    <w:p w14:paraId="6C985A5A" w14:textId="562AFAB4" w:rsidR="0093108D" w:rsidRDefault="0093108D" w:rsidP="0093108D">
      <w:pPr>
        <w:pStyle w:val="Loendilik"/>
        <w:numPr>
          <w:ilvl w:val="1"/>
          <w:numId w:val="1"/>
        </w:numPr>
        <w:jc w:val="both"/>
      </w:pPr>
      <w:r w:rsidRPr="00045949">
        <w:t xml:space="preserve">Arvestada </w:t>
      </w:r>
      <w:r w:rsidR="00045949" w:rsidRPr="00045949">
        <w:t>Transpordiameti 19.07.2024 kirjas nr 7.1-2/24/12424-2</w:t>
      </w:r>
      <w:r w:rsidR="00045949">
        <w:t xml:space="preserve"> esitatud järgmiste märkustega:</w:t>
      </w:r>
    </w:p>
    <w:p w14:paraId="4E65899C" w14:textId="0E172BC7" w:rsidR="00045949" w:rsidRDefault="00045949" w:rsidP="00045949">
      <w:pPr>
        <w:pStyle w:val="Loendilik"/>
        <w:numPr>
          <w:ilvl w:val="2"/>
          <w:numId w:val="1"/>
        </w:numPr>
        <w:jc w:val="both"/>
      </w:pPr>
      <w:r w:rsidRPr="00045949">
        <w:t xml:space="preserve">Projekti asendiplaanile kanda ja seletuskirjas tuua välja </w:t>
      </w:r>
      <w:proofErr w:type="spellStart"/>
      <w:r w:rsidRPr="00045949">
        <w:t>EhS</w:t>
      </w:r>
      <w:proofErr w:type="spellEnd"/>
      <w:r w:rsidRPr="00045949">
        <w:t xml:space="preserve"> § 71 kohane tee kaitsevöönd.</w:t>
      </w:r>
    </w:p>
    <w:p w14:paraId="575C618C" w14:textId="68DB5BE2" w:rsidR="00045949" w:rsidRDefault="00045949" w:rsidP="00045949">
      <w:pPr>
        <w:pStyle w:val="Loendilik"/>
        <w:numPr>
          <w:ilvl w:val="2"/>
          <w:numId w:val="1"/>
        </w:numPr>
        <w:jc w:val="both"/>
      </w:pPr>
      <w:r w:rsidRPr="00045949">
        <w:t>Kanda joonistele ehitiste kaugus riigitee äärmise sõiduraja välimisest servast.</w:t>
      </w:r>
    </w:p>
    <w:p w14:paraId="25DB4B10" w14:textId="39F4A2FC" w:rsidR="00045949" w:rsidRDefault="00045949" w:rsidP="00045949">
      <w:pPr>
        <w:pStyle w:val="Loendilik"/>
        <w:numPr>
          <w:ilvl w:val="2"/>
          <w:numId w:val="1"/>
        </w:numPr>
        <w:jc w:val="both"/>
      </w:pPr>
      <w:r w:rsidRPr="00045949">
        <w:t xml:space="preserve">Riigitee kaitsevööndis on keelatud </w:t>
      </w:r>
      <w:proofErr w:type="spellStart"/>
      <w:r w:rsidRPr="00045949">
        <w:t>EhS</w:t>
      </w:r>
      <w:proofErr w:type="spellEnd"/>
      <w:r w:rsidRPr="00045949">
        <w:t xml:space="preserve"> § 70 lg 2 ja § 72 lg 1 nimetatud tegevused, sh on keelatud ehitada ehitusloakohustuslikku teist ehitist. Riigitee kaitsevööndis kehtivatest piirangutest võib kõrvale kalduda Transpordiameti nõusolekul vastavalt </w:t>
      </w:r>
      <w:proofErr w:type="spellStart"/>
      <w:r w:rsidRPr="00045949">
        <w:t>EhS</w:t>
      </w:r>
      <w:proofErr w:type="spellEnd"/>
      <w:r w:rsidRPr="00045949">
        <w:t xml:space="preserve"> § 70 lg 3. </w:t>
      </w:r>
      <w:r>
        <w:t>Transpordiamet nõustub</w:t>
      </w:r>
      <w:r w:rsidRPr="00045949">
        <w:t xml:space="preserve"> eelnõu kohase ooteplatvormi paigutusega väljapoole teekaitsevööndit.</w:t>
      </w:r>
    </w:p>
    <w:p w14:paraId="799C8C97" w14:textId="78FE3976" w:rsidR="00045949" w:rsidRDefault="00045949" w:rsidP="00045949">
      <w:pPr>
        <w:pStyle w:val="Loendilik"/>
        <w:numPr>
          <w:ilvl w:val="2"/>
          <w:numId w:val="1"/>
        </w:numPr>
        <w:jc w:val="both"/>
      </w:pPr>
      <w:r w:rsidRPr="00045949">
        <w:t>Projektis kasutada riikliku teeregistri (http://teeregister.riik.ee) põhiseid teede numbreid ja nimetusi.</w:t>
      </w:r>
    </w:p>
    <w:p w14:paraId="6FC20B6D" w14:textId="7C396D88" w:rsidR="00045949" w:rsidRDefault="00045949" w:rsidP="00045949">
      <w:pPr>
        <w:pStyle w:val="Loendilik"/>
        <w:numPr>
          <w:ilvl w:val="2"/>
          <w:numId w:val="1"/>
        </w:numPr>
        <w:jc w:val="both"/>
      </w:pPr>
      <w:r w:rsidRPr="00045949">
        <w:t>Juurdepääs kavandada riigitee km 12.123 olemasoleva ristumiskoha kaudu.</w:t>
      </w:r>
    </w:p>
    <w:p w14:paraId="4BA18118" w14:textId="51F28501" w:rsidR="00045949" w:rsidRDefault="00045949" w:rsidP="00045949">
      <w:pPr>
        <w:pStyle w:val="Loendilik"/>
        <w:numPr>
          <w:ilvl w:val="2"/>
          <w:numId w:val="1"/>
        </w:numPr>
        <w:jc w:val="both"/>
      </w:pPr>
      <w:r w:rsidRPr="00045949">
        <w:t>Joonistele kanda (ja seletuskirjas kirjeldada) kliimaministri 17.11.2023 määruse nr 71 „Tee projekteerimise normid“ lisa 1 tabeli 18 ja lisa 2 joonise 8 kohased nähtavuskolmnurgad, milles ei tohi paikneda nähtavust piiravaid takistusi. Vajadusel näha ette metsa, võsa, heki, aia vm rajatise likvideerimine (</w:t>
      </w:r>
      <w:proofErr w:type="spellStart"/>
      <w:r w:rsidRPr="00045949">
        <w:t>EhS</w:t>
      </w:r>
      <w:proofErr w:type="spellEnd"/>
      <w:r w:rsidRPr="00045949">
        <w:t xml:space="preserve"> § 72 lg 2).</w:t>
      </w:r>
    </w:p>
    <w:p w14:paraId="0896CFB6" w14:textId="49EC25FC" w:rsidR="00045949" w:rsidRDefault="00045949" w:rsidP="00045949">
      <w:pPr>
        <w:pStyle w:val="Loendilik"/>
        <w:numPr>
          <w:ilvl w:val="2"/>
          <w:numId w:val="1"/>
        </w:numPr>
        <w:jc w:val="both"/>
      </w:pPr>
      <w:r w:rsidRPr="00045949">
        <w:t>Parkimine lahendada kinnistusiseselt ning riigiteel parkimist, sh manööverdamist, mitte ette näha.</w:t>
      </w:r>
    </w:p>
    <w:p w14:paraId="04C5F913" w14:textId="7CBBA3FE" w:rsidR="00045949" w:rsidRDefault="00045949" w:rsidP="00045949">
      <w:pPr>
        <w:pStyle w:val="Loendilik"/>
        <w:numPr>
          <w:ilvl w:val="2"/>
          <w:numId w:val="1"/>
        </w:numPr>
        <w:jc w:val="both"/>
      </w:pPr>
      <w:r w:rsidRPr="00045949">
        <w:t>Projekti joonistel näidata projekteeritaval alal paiknevad olemasolevad ja kavandatavad tehnovõrgud ja muu taristu. Tehnovõrke, sh kaitsevööndeid, riigitee alusele maaüksusele mitte</w:t>
      </w:r>
      <w:r>
        <w:t xml:space="preserve"> </w:t>
      </w:r>
      <w:r w:rsidRPr="00045949">
        <w:t>kavandada. Kui kavandatakse riigiteega ristuvaid tehnovõrke, siis tuleb lahendada nende rajamine kinnisel meetodil.</w:t>
      </w:r>
    </w:p>
    <w:p w14:paraId="3DC8D5D7" w14:textId="1CC1440B" w:rsidR="00045949" w:rsidRDefault="00045949" w:rsidP="00045949">
      <w:pPr>
        <w:pStyle w:val="Loendilik"/>
        <w:numPr>
          <w:ilvl w:val="2"/>
          <w:numId w:val="1"/>
        </w:numPr>
        <w:jc w:val="both"/>
      </w:pPr>
      <w:r w:rsidRPr="00045949">
        <w:t>Projekti koosseisus kirjeldada ja näidata joonistel projektala sademevete ärajuhtimise lahendused. Sademevett ei tohi juhtida riigitee alusele maaüksusele.</w:t>
      </w:r>
    </w:p>
    <w:p w14:paraId="212A9EAE" w14:textId="44EFE98B" w:rsidR="00045949" w:rsidRDefault="00045949" w:rsidP="00045949">
      <w:pPr>
        <w:pStyle w:val="Loendilik"/>
        <w:numPr>
          <w:ilvl w:val="2"/>
          <w:numId w:val="1"/>
        </w:numPr>
        <w:jc w:val="both"/>
      </w:pPr>
      <w:r w:rsidRPr="00045949">
        <w:t>Arendustegevusega seotud riigitee laiendamise, ristmiku ümberehituse, jalgratta- ja jalgtee kavandamise jne korral on nende projekteerimine ning väljaehitamine huvitatud isiku kohustus. Seletuskirja tuleb lisada, et arendusega seotud teed tuleb rajada ning kõrvaldada nähtavust piirav istandik, puu, põõsas või liiklusele ohtlik rajatis enne projekti alusel mistahes rajatise ehitusloa väljastamist.</w:t>
      </w:r>
    </w:p>
    <w:p w14:paraId="358E887D" w14:textId="73D3E708" w:rsidR="00045949" w:rsidRDefault="00045949" w:rsidP="00045949">
      <w:pPr>
        <w:pStyle w:val="Loendilik"/>
        <w:numPr>
          <w:ilvl w:val="2"/>
          <w:numId w:val="1"/>
        </w:numPr>
        <w:jc w:val="both"/>
      </w:pPr>
      <w:r w:rsidRPr="00045949">
        <w:t>Projekti aluseks olev geodeetiline alusplaan peab olema mõõdistatud piisavas ulatuses, mis võimaldab projekti koostada ja kontrollida. Kõik projektiga kavandatu peab jääma mõõdistatud alusele.</w:t>
      </w:r>
    </w:p>
    <w:p w14:paraId="7E39F9D3" w14:textId="7E7B2B23" w:rsidR="00045949" w:rsidRDefault="00045949" w:rsidP="00045949">
      <w:pPr>
        <w:pStyle w:val="Loendilik"/>
        <w:numPr>
          <w:ilvl w:val="2"/>
          <w:numId w:val="1"/>
        </w:numPr>
        <w:jc w:val="both"/>
      </w:pPr>
      <w:r w:rsidRPr="00045949">
        <w:t>Transpordiamet ei võta kohustusi projektiga seotud rajatiste väljaehitamiseks.</w:t>
      </w:r>
    </w:p>
    <w:p w14:paraId="5444DE73" w14:textId="2093B9D2" w:rsidR="00045949" w:rsidRPr="00045949" w:rsidRDefault="00045949" w:rsidP="00045949">
      <w:pPr>
        <w:pStyle w:val="Loendilik"/>
        <w:numPr>
          <w:ilvl w:val="2"/>
          <w:numId w:val="1"/>
        </w:numPr>
        <w:jc w:val="both"/>
      </w:pPr>
      <w:r w:rsidRPr="00045949">
        <w:t xml:space="preserve">Kooskõlastus kehtib kaks aastat </w:t>
      </w:r>
      <w:r>
        <w:t>kooskõlastuse</w:t>
      </w:r>
      <w:r w:rsidRPr="00045949">
        <w:t xml:space="preserve"> andmise kuupäevast.</w:t>
      </w:r>
    </w:p>
    <w:p w14:paraId="438C7EA7" w14:textId="77777777" w:rsidR="0093108D" w:rsidRDefault="0093108D" w:rsidP="0093108D">
      <w:pPr>
        <w:jc w:val="both"/>
      </w:pPr>
    </w:p>
    <w:p w14:paraId="7FE3AA06" w14:textId="77777777" w:rsidR="0093108D" w:rsidRDefault="0093108D" w:rsidP="0093108D">
      <w:pPr>
        <w:pStyle w:val="Loendilik"/>
        <w:numPr>
          <w:ilvl w:val="0"/>
          <w:numId w:val="1"/>
        </w:numPr>
        <w:jc w:val="both"/>
        <w:rPr>
          <w:b/>
          <w:bCs/>
        </w:rPr>
      </w:pPr>
      <w:r>
        <w:rPr>
          <w:b/>
          <w:bCs/>
        </w:rPr>
        <w:t xml:space="preserve">Üldnõuded: </w:t>
      </w:r>
    </w:p>
    <w:p w14:paraId="5BFEB4D2" w14:textId="77777777" w:rsidR="0093108D" w:rsidRDefault="0093108D" w:rsidP="0093108D">
      <w:pPr>
        <w:pStyle w:val="Loendilik"/>
        <w:numPr>
          <w:ilvl w:val="1"/>
          <w:numId w:val="1"/>
        </w:numPr>
        <w:jc w:val="both"/>
      </w:pPr>
      <w:r>
        <w:t>Keskkonnamõju hindamise ja keskkonnajuhtimissüsteemi seaduse (</w:t>
      </w:r>
      <w:proofErr w:type="spellStart"/>
      <w:r>
        <w:t>KeHJS</w:t>
      </w:r>
      <w:proofErr w:type="spellEnd"/>
      <w:r>
        <w:t xml:space="preserve">) alusel kaalutakse ehitusloa menetluses, kas kavandataval tegevusel on oluline keskkonnamõju. Kui ilmneb eelhinnangu koostamise vajadus, antakse ehitusluba õigusaktis sätestatud tegevusloa taotluse menetlemise aja jooksul, kuid hiljemalt 90. päeval pärast </w:t>
      </w:r>
      <w:proofErr w:type="spellStart"/>
      <w:r>
        <w:t>KeHJS</w:t>
      </w:r>
      <w:proofErr w:type="spellEnd"/>
      <w:r>
        <w:t xml:space="preserve"> § 6¹ lõikes 1 loetletud teabe saamist.</w:t>
      </w:r>
    </w:p>
    <w:p w14:paraId="556BB3E1" w14:textId="77777777" w:rsidR="0093108D" w:rsidRDefault="0093108D" w:rsidP="0093108D">
      <w:pPr>
        <w:pStyle w:val="Loendilik"/>
        <w:numPr>
          <w:ilvl w:val="1"/>
          <w:numId w:val="1"/>
        </w:numPr>
        <w:jc w:val="both"/>
      </w:pPr>
      <w:r>
        <w:t xml:space="preserve">Ehitusloa taotlus esitada elektrooniliselt ehitisregistri veebikeskkonna kaudu (www.ehr.ee). Ehitusprojekti vormistamisel järgida juhendit „Ehitusprojekti dokumentide vormistamise nõuded ehitusloa elektroonilisel taotlemisel“. Koos ehitusloa taotlusega esitada projekteerimistingimused. </w:t>
      </w:r>
    </w:p>
    <w:p w14:paraId="1FE0A58B" w14:textId="77777777" w:rsidR="0093108D" w:rsidRDefault="0093108D" w:rsidP="0093108D">
      <w:pPr>
        <w:pStyle w:val="Loendilik"/>
        <w:numPr>
          <w:ilvl w:val="1"/>
          <w:numId w:val="1"/>
        </w:numPr>
        <w:jc w:val="both"/>
      </w:pPr>
      <w:r>
        <w:t xml:space="preserve">Projekteerimistingimused kehtivad </w:t>
      </w:r>
      <w:proofErr w:type="spellStart"/>
      <w:r>
        <w:t>EhS</w:t>
      </w:r>
      <w:proofErr w:type="spellEnd"/>
      <w:r>
        <w:t xml:space="preserve"> § 33 lg 1 kohaselt viis aastat alates käesoleva dokumendi väljastamise kuupäevast. </w:t>
      </w:r>
    </w:p>
    <w:p w14:paraId="779C46CE" w14:textId="6A6BC59B" w:rsidR="00045949" w:rsidRDefault="00045949" w:rsidP="0093108D">
      <w:pPr>
        <w:pStyle w:val="Loendilik"/>
        <w:numPr>
          <w:ilvl w:val="1"/>
          <w:numId w:val="1"/>
        </w:numPr>
        <w:jc w:val="both"/>
      </w:pPr>
      <w:r>
        <w:t>Kaasata Maa-amet ehitusloa menetlusse.</w:t>
      </w:r>
    </w:p>
    <w:p w14:paraId="083B8111" w14:textId="77777777" w:rsidR="0093108D" w:rsidRDefault="0093108D" w:rsidP="0093108D">
      <w:pPr>
        <w:ind w:left="360"/>
        <w:jc w:val="both"/>
      </w:pPr>
    </w:p>
    <w:p w14:paraId="6DD32C29" w14:textId="77777777" w:rsidR="0093108D" w:rsidRDefault="0093108D" w:rsidP="0093108D">
      <w:pPr>
        <w:jc w:val="both"/>
      </w:pPr>
      <w:r>
        <w:t>Isikul, kes leiab, et käesoleva haldusaktiga rikutakse tema õigusi, on 30 kalendripäeva jooksul arvates haldusaktist teadasaamisest õigus esitada vaie Tarbijakaitse ja Tehnilise Järelevalve Ameti peadirektorile (Endla tn 10a, 10122 Tallinn, e-post info@ttja.ee) haldusmenetluse seaduses sätestatud korras või kaebus halduskohtule halduskohtumenetluse seadustikus sätestatud korras.</w:t>
      </w:r>
    </w:p>
    <w:p w14:paraId="59520991" w14:textId="77777777" w:rsidR="0093108D" w:rsidRDefault="0093108D" w:rsidP="0093108D"/>
    <w:p w14:paraId="3B45F670" w14:textId="77777777" w:rsidR="0093108D" w:rsidRDefault="0093108D" w:rsidP="0093108D"/>
    <w:p w14:paraId="060BFCB6" w14:textId="77777777" w:rsidR="0093108D" w:rsidRDefault="0093108D" w:rsidP="0093108D"/>
    <w:p w14:paraId="14EA7350" w14:textId="77777777" w:rsidR="0093108D" w:rsidRDefault="0093108D" w:rsidP="0093108D"/>
    <w:p w14:paraId="389B69DB" w14:textId="77777777" w:rsidR="00C93566" w:rsidRDefault="00C93566"/>
    <w:sectPr w:rsidR="00C93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60676"/>
    <w:multiLevelType w:val="multilevel"/>
    <w:tmpl w:val="F556A1D8"/>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815"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2018388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8D"/>
    <w:rsid w:val="00045949"/>
    <w:rsid w:val="000C6479"/>
    <w:rsid w:val="0093108D"/>
    <w:rsid w:val="00C935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77DD"/>
  <w15:chartTrackingRefBased/>
  <w15:docId w15:val="{C0AAA1AC-63B5-4BA0-8A75-1AE4BB9F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108D"/>
    <w:pPr>
      <w:spacing w:line="254" w:lineRule="auto"/>
    </w:pPr>
    <w:rPr>
      <w:kern w:val="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93108D"/>
    <w:rPr>
      <w:color w:val="0563C1" w:themeColor="hyperlink"/>
      <w:u w:val="single"/>
    </w:rPr>
  </w:style>
  <w:style w:type="paragraph" w:styleId="Loendilik">
    <w:name w:val="List Paragraph"/>
    <w:basedOn w:val="Normaallaad"/>
    <w:uiPriority w:val="34"/>
    <w:qFormat/>
    <w:rsid w:val="0093108D"/>
    <w:pPr>
      <w:ind w:left="720"/>
      <w:contextualSpacing/>
    </w:pPr>
  </w:style>
  <w:style w:type="character" w:styleId="Kommentaariviide">
    <w:name w:val="annotation reference"/>
    <w:basedOn w:val="Liguvaikefont"/>
    <w:uiPriority w:val="99"/>
    <w:semiHidden/>
    <w:unhideWhenUsed/>
    <w:rsid w:val="000C6479"/>
    <w:rPr>
      <w:sz w:val="16"/>
      <w:szCs w:val="16"/>
    </w:rPr>
  </w:style>
  <w:style w:type="paragraph" w:styleId="Kommentaaritekst">
    <w:name w:val="annotation text"/>
    <w:basedOn w:val="Normaallaad"/>
    <w:link w:val="KommentaaritekstMrk"/>
    <w:uiPriority w:val="99"/>
    <w:unhideWhenUsed/>
    <w:rsid w:val="000C6479"/>
    <w:pPr>
      <w:spacing w:line="240" w:lineRule="auto"/>
    </w:pPr>
    <w:rPr>
      <w:sz w:val="20"/>
      <w:szCs w:val="20"/>
    </w:rPr>
  </w:style>
  <w:style w:type="character" w:customStyle="1" w:styleId="KommentaaritekstMrk">
    <w:name w:val="Kommentaari tekst Märk"/>
    <w:basedOn w:val="Liguvaikefont"/>
    <w:link w:val="Kommentaaritekst"/>
    <w:uiPriority w:val="99"/>
    <w:rsid w:val="000C6479"/>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511442">
      <w:bodyDiv w:val="1"/>
      <w:marLeft w:val="0"/>
      <w:marRight w:val="0"/>
      <w:marTop w:val="0"/>
      <w:marBottom w:val="0"/>
      <w:divBdr>
        <w:top w:val="none" w:sz="0" w:space="0" w:color="auto"/>
        <w:left w:val="none" w:sz="0" w:space="0" w:color="auto"/>
        <w:bottom w:val="none" w:sz="0" w:space="0" w:color="auto"/>
        <w:right w:val="none" w:sz="0" w:space="0" w:color="auto"/>
      </w:divBdr>
      <w:divsChild>
        <w:div w:id="1785997167">
          <w:marLeft w:val="0"/>
          <w:marRight w:val="0"/>
          <w:marTop w:val="0"/>
          <w:marBottom w:val="0"/>
          <w:divBdr>
            <w:top w:val="none" w:sz="0" w:space="0" w:color="auto"/>
            <w:left w:val="none" w:sz="0" w:space="0" w:color="auto"/>
            <w:bottom w:val="none" w:sz="0" w:space="0" w:color="auto"/>
            <w:right w:val="none" w:sz="0" w:space="0" w:color="auto"/>
          </w:divBdr>
          <w:divsChild>
            <w:div w:id="8915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3228">
      <w:bodyDiv w:val="1"/>
      <w:marLeft w:val="0"/>
      <w:marRight w:val="0"/>
      <w:marTop w:val="0"/>
      <w:marBottom w:val="0"/>
      <w:divBdr>
        <w:top w:val="none" w:sz="0" w:space="0" w:color="auto"/>
        <w:left w:val="none" w:sz="0" w:space="0" w:color="auto"/>
        <w:bottom w:val="none" w:sz="0" w:space="0" w:color="auto"/>
        <w:right w:val="none" w:sz="0" w:space="0" w:color="auto"/>
      </w:divBdr>
      <w:divsChild>
        <w:div w:id="1401177809">
          <w:marLeft w:val="0"/>
          <w:marRight w:val="0"/>
          <w:marTop w:val="0"/>
          <w:marBottom w:val="0"/>
          <w:divBdr>
            <w:top w:val="none" w:sz="0" w:space="0" w:color="auto"/>
            <w:left w:val="none" w:sz="0" w:space="0" w:color="auto"/>
            <w:bottom w:val="none" w:sz="0" w:space="0" w:color="auto"/>
            <w:right w:val="none" w:sz="0" w:space="0" w:color="auto"/>
          </w:divBdr>
          <w:divsChild>
            <w:div w:id="21466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1150</Words>
  <Characters>6670</Characters>
  <Application>Microsoft Office Word</Application>
  <DocSecurity>0</DocSecurity>
  <Lines>55</Lines>
  <Paragraphs>15</Paragraphs>
  <ScaleCrop>false</ScaleCrop>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Moks</dc:creator>
  <cp:keywords/>
  <dc:description/>
  <cp:lastModifiedBy>Kaisa Karu</cp:lastModifiedBy>
  <cp:revision>3</cp:revision>
  <dcterms:created xsi:type="dcterms:W3CDTF">2024-07-12T11:22:00Z</dcterms:created>
  <dcterms:modified xsi:type="dcterms:W3CDTF">2024-08-02T09:59:00Z</dcterms:modified>
</cp:coreProperties>
</file>